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金属工艺品行业运营态势深度调研及投资前景分析报告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金属工艺品行业运营态势深度调研及投资前景分析报告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金属工艺品行业运营态势深度调研及投资前景分析报告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金属工艺品行业运营态势深度调研及投资前景分析报告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